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text" w:tblpY="1"/>
        <w:tblOverlap w:val="never"/>
        <w:tblW w:w="15304" w:type="dxa"/>
        <w:tblInd w:w="0" w:type="dxa"/>
        <w:tblLook w:val="04A0" w:firstRow="1" w:lastRow="0" w:firstColumn="1" w:lastColumn="0" w:noHBand="0" w:noVBand="1"/>
      </w:tblPr>
      <w:tblGrid>
        <w:gridCol w:w="1571"/>
        <w:gridCol w:w="2819"/>
        <w:gridCol w:w="4110"/>
        <w:gridCol w:w="4111"/>
        <w:gridCol w:w="2693"/>
      </w:tblGrid>
      <w:tr w:rsidR="00673C84" w:rsidTr="3A2AF4A6" w14:paraId="0726E3E2" w14:textId="77777777">
        <w:trPr>
          <w:trHeight w:val="780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C65B2" w:rsidRDefault="00673C84" w14:paraId="20A04835" w14:textId="4F912A61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01920">
              <w:rPr>
                <w:rFonts w:ascii="Century Gothic" w:hAnsi="Century Gothic"/>
                <w:b/>
                <w:bCs/>
                <w:sz w:val="18"/>
                <w:szCs w:val="18"/>
              </w:rPr>
              <w:t>Code de gestion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hideMark/>
          </w:tcPr>
          <w:p w:rsidRPr="00901920" w:rsidR="00673C84" w:rsidP="007168DF" w:rsidRDefault="00673C84" w14:paraId="3FFEEC80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01920">
              <w:rPr>
                <w:rFonts w:ascii="Century Gothic" w:hAnsi="Century Gothic"/>
                <w:b/>
                <w:bCs/>
                <w:sz w:val="18"/>
                <w:szCs w:val="18"/>
              </w:rPr>
              <w:t>Code 1</w:t>
            </w:r>
          </w:p>
          <w:p w:rsidRPr="00901920" w:rsidR="00673C84" w:rsidP="006C65B2" w:rsidRDefault="00673C84" w14:paraId="31C3BCC6" w14:textId="77777777">
            <w:pPr>
              <w:shd w:val="clear" w:color="auto" w:fill="FF0000"/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Entretien très suivi</w:t>
            </w:r>
          </w:p>
          <w:p w:rsidRPr="00901920" w:rsidR="006C65B2" w:rsidP="006C65B2" w:rsidRDefault="00673C84" w14:paraId="3D2DBC57" w14:textId="77F17840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Priorité au décor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tcMar/>
            <w:hideMark/>
          </w:tcPr>
          <w:p w:rsidRPr="00901920" w:rsidR="00673C84" w:rsidP="007168DF" w:rsidRDefault="00673C84" w14:paraId="1E9F293A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01920">
              <w:rPr>
                <w:rFonts w:ascii="Century Gothic" w:hAnsi="Century Gothic"/>
                <w:b/>
                <w:bCs/>
                <w:sz w:val="18"/>
                <w:szCs w:val="18"/>
              </w:rPr>
              <w:t>Code 2</w:t>
            </w:r>
          </w:p>
          <w:p w:rsidRPr="00901920" w:rsidR="00673C84" w:rsidP="007168DF" w:rsidRDefault="00673C84" w14:paraId="5AFD64D2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Entretien suivi</w:t>
            </w:r>
          </w:p>
          <w:p w:rsidRPr="00901920" w:rsidR="00673C84" w:rsidP="007168DF" w:rsidRDefault="00673C84" w14:paraId="4611A275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Priorité aux usages récréatifs 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tcMar/>
            <w:hideMark/>
          </w:tcPr>
          <w:p w:rsidRPr="00901920" w:rsidR="00673C84" w:rsidP="007168DF" w:rsidRDefault="00673C84" w14:paraId="2D923800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01920">
              <w:rPr>
                <w:rFonts w:ascii="Century Gothic" w:hAnsi="Century Gothic"/>
                <w:b/>
                <w:bCs/>
                <w:sz w:val="18"/>
                <w:szCs w:val="18"/>
              </w:rPr>
              <w:t>Code 3</w:t>
            </w:r>
          </w:p>
          <w:p w:rsidRPr="00901920" w:rsidR="00673C84" w:rsidP="007168DF" w:rsidRDefault="00673C84" w14:paraId="5D7B152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Entretien limité</w:t>
            </w:r>
          </w:p>
          <w:p w:rsidRPr="00901920" w:rsidR="00673C84" w:rsidP="007168DF" w:rsidRDefault="00673C84" w14:paraId="55E6E84F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Priorité intermédiaire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hideMark/>
          </w:tcPr>
          <w:p w:rsidRPr="00901920" w:rsidR="00673C84" w:rsidP="007168DF" w:rsidRDefault="00673C84" w14:paraId="166AFD90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901920">
              <w:rPr>
                <w:rFonts w:ascii="Century Gothic" w:hAnsi="Century Gothic"/>
                <w:b/>
                <w:bCs/>
                <w:sz w:val="18"/>
                <w:szCs w:val="18"/>
              </w:rPr>
              <w:t>Code 4</w:t>
            </w:r>
          </w:p>
          <w:p w:rsidRPr="00901920" w:rsidR="00673C84" w:rsidP="007168DF" w:rsidRDefault="00673C84" w14:paraId="218E2F2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Entretien extensif</w:t>
            </w:r>
          </w:p>
          <w:p w:rsidRPr="00901920" w:rsidR="00673C84" w:rsidP="007168DF" w:rsidRDefault="00673C84" w14:paraId="66B349E6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Priorité à la biodiversité</w:t>
            </w:r>
          </w:p>
        </w:tc>
      </w:tr>
      <w:tr w:rsidRPr="008A426A" w:rsidR="00673C84" w:rsidTr="3A2AF4A6" w14:paraId="448BABFC" w14:textId="77777777">
        <w:trPr>
          <w:trHeight w:val="1210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1778E77F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Palette végétale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C65B2" w:rsidRDefault="00673C84" w14:paraId="3596118F" w14:textId="273697BE">
            <w:pPr>
              <w:pStyle w:val="Defaul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Purement horticole</w:t>
            </w:r>
            <w:r w:rsidRPr="00901920">
              <w:rPr>
                <w:rFonts w:ascii="Century Gothic" w:hAnsi="Century Gothic"/>
                <w:sz w:val="16"/>
                <w:szCs w:val="16"/>
              </w:rPr>
              <w:t> ; fleurissement en massifs composés de plantes vivaces à 80% agrémenté de plantes annuelles, bisannuelles ou de plantes potagères le cas échéant.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73C84" w:rsidRDefault="00673C84" w14:paraId="0134D07C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Indigènes et endémiques. </w:t>
            </w:r>
          </w:p>
          <w:p w:rsidRPr="00901920" w:rsidR="00673C84" w:rsidP="00673C84" w:rsidRDefault="00673C84" w14:paraId="196F5C39" w14:textId="0F13AF32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(Arbustes, vivaces)</w:t>
            </w:r>
          </w:p>
          <w:p w:rsidRPr="00901920" w:rsidR="00673C84" w:rsidP="00673C84" w:rsidRDefault="00673C84" w14:paraId="6031A875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73C84" w:rsidRDefault="00673C84" w14:paraId="3741605E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Indigènes et endémiques. </w:t>
            </w:r>
          </w:p>
          <w:p w:rsidRPr="00901920" w:rsidR="00673C84" w:rsidP="00673C84" w:rsidRDefault="00673C84" w14:paraId="03355B4C" w14:textId="622EC4D1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(Arbustes, vivaces avec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intégration de semis de végétal local</w:t>
            </w:r>
            <w:r w:rsidRPr="00901920">
              <w:rPr>
                <w:rFonts w:ascii="Century Gothic" w:hAnsi="Century Gothic"/>
                <w:sz w:val="16"/>
                <w:szCs w:val="16"/>
              </w:rPr>
              <w:t>)</w:t>
            </w:r>
          </w:p>
          <w:p w:rsidRPr="00901920" w:rsidR="00673C84" w:rsidP="00673C84" w:rsidRDefault="00673C84" w14:paraId="30FC1201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Pr="00901920" w:rsidR="00673C84" w:rsidP="00673C84" w:rsidRDefault="00673C84" w14:paraId="514B8E53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5A9FEE74" w14:textId="77777777">
            <w:pPr>
              <w:pStyle w:val="Defaul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73C84" w:rsidTr="3A2AF4A6" w14:paraId="4A566933" w14:textId="77777777">
        <w:trPr>
          <w:trHeight w:val="1190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052D82B3" w14:textId="3AA4EEE2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massifs de vivaces et arbustes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7D0925DB" w14:textId="1CAE855C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Désherbage : Fréquence d’intervention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2 à 4 x/mois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suivant la saisonnalité.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50F1F1F7" w14:textId="71E50DED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Désherbage : 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1x/2 mois de mars à novembre.</w:t>
            </w:r>
          </w:p>
          <w:p w:rsidRPr="00901920" w:rsidR="00673C84" w:rsidP="00673C84" w:rsidRDefault="00673C84" w14:paraId="6CDC5F1A" w14:textId="77777777">
            <w:pPr>
              <w:spacing w:line="12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Pr="00901920" w:rsidR="00673C84" w:rsidP="00673C84" w:rsidRDefault="00673C84" w14:paraId="5D39687F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Pr="00901920" w:rsidR="00673C84" w:rsidP="00673C84" w:rsidRDefault="00673C84" w14:paraId="7E6ABA4E" w14:textId="40F422F0">
            <w:pPr>
              <w:tabs>
                <w:tab w:val="left" w:pos="2520"/>
              </w:tabs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73C84" w:rsidRDefault="00673C84" w14:paraId="37038D1B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Désherbage : 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3x/an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. </w:t>
            </w:r>
          </w:p>
          <w:p w:rsidRPr="00901920" w:rsidR="00673C84" w:rsidP="00673C84" w:rsidRDefault="00673C84" w14:paraId="728DC053" w14:textId="621ABE4D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(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Limité aux envahissantes et adventices vivaces semi-ligneuses et/ou ligneuses</w:t>
            </w:r>
            <w:r w:rsidRPr="00901920">
              <w:rPr>
                <w:rFonts w:ascii="Century Gothic" w:hAnsi="Century Gothic"/>
                <w:sz w:val="16"/>
                <w:szCs w:val="16"/>
              </w:rPr>
              <w:t>)</w:t>
            </w:r>
          </w:p>
          <w:p w:rsidRPr="00901920" w:rsidR="00673C84" w:rsidP="00673C84" w:rsidRDefault="00673C84" w14:paraId="431829B0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Fauchage : si besoin</w:t>
            </w:r>
          </w:p>
          <w:p w:rsidRPr="00901920" w:rsidR="00673C84" w:rsidP="00673C84" w:rsidRDefault="00673C84" w14:paraId="6173371C" w14:textId="78A885FA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Intégration du végétal local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dans les massifs à privilégier.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18D1F951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73C84" w:rsidTr="3A2AF4A6" w14:paraId="3E4837F5" w14:textId="77777777">
        <w:trPr>
          <w:trHeight w:val="828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7B846B7E" w14:textId="77C9CEC5">
            <w:pPr>
              <w:spacing w:line="240" w:lineRule="auto"/>
              <w:jc w:val="center"/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arbustes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415B28A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79E70816" w14:textId="70ED15F8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Taille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raisonnée </w:t>
            </w:r>
            <w:r w:rsidRPr="00901920">
              <w:rPr>
                <w:rFonts w:ascii="Century Gothic" w:hAnsi="Century Gothic"/>
                <w:sz w:val="16"/>
                <w:szCs w:val="16"/>
              </w:rPr>
              <w:t>de décembre à mars ; broyage sur site obligatoire.</w:t>
            </w:r>
          </w:p>
          <w:p w:rsidRPr="00901920" w:rsidR="006C65B2" w:rsidP="00673C84" w:rsidRDefault="00673C84" w14:paraId="725E03B0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1X/an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. </w:t>
            </w:r>
          </w:p>
          <w:p w:rsidRPr="00901920" w:rsidR="00673C84" w:rsidP="00673C84" w:rsidRDefault="00673C84" w14:paraId="172E3B06" w14:textId="1E490553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Concerne tous les arbustes.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C65B2" w:rsidRDefault="00673C84" w14:paraId="4002827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Taille : raisonnée de décembre à mars. 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Tous les 3-5/ans 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et 1arbuste/3 (roulement). Recépage : avril. </w:t>
            </w:r>
          </w:p>
          <w:p w:rsidRPr="00901920" w:rsidR="00673C84" w:rsidP="006C65B2" w:rsidRDefault="00673C84" w14:paraId="7469CEA4" w14:textId="6BA55032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Broyage sur site obligatoire.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1A295255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73C84" w:rsidTr="3A2AF4A6" w14:paraId="250A45B4" w14:textId="77777777">
        <w:trPr>
          <w:trHeight w:val="498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73978ADE" w14:textId="7758429F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fosses d’arbres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17B750D3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EA470F6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Désherbage : manuel</w:t>
            </w:r>
          </w:p>
          <w:p w:rsidRPr="00901920" w:rsidR="00673C84" w:rsidP="00673C84" w:rsidRDefault="00673C84" w14:paraId="358E840E" w14:textId="3B537262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4 à 6 passage</w:t>
            </w:r>
            <w:r w:rsidRPr="00901920" w:rsidR="006C65B2">
              <w:rPr>
                <w:rFonts w:ascii="Century Gothic" w:hAnsi="Century Gothic"/>
                <w:b/>
                <w:bCs/>
                <w:sz w:val="16"/>
                <w:szCs w:val="16"/>
              </w:rPr>
              <w:t>s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/an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376CDC23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Privilégier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l’enherbement naturel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et le semi de végétal local.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645F664" w14:textId="5270C18E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73C84" w:rsidTr="3A2AF4A6" w14:paraId="24318958" w14:textId="77777777">
        <w:trPr>
          <w:trHeight w:val="1422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1620C909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zones enherbées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02CD0C0E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0F5427E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Tonte : en Mulching ; hauteur de coupe entre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10 et 12 cm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. 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2X/mois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de mars à octobre.</w:t>
            </w:r>
          </w:p>
          <w:p w:rsidRPr="00901920" w:rsidR="00673C84" w:rsidP="006C65B2" w:rsidRDefault="00673C84" w14:paraId="33D113ED" w14:textId="6CE50D5D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Arrosage : automatique à utilisation raisonnée. (Asperseurs et goutte à goutte)</w:t>
            </w:r>
          </w:p>
          <w:p w:rsidRPr="00901920" w:rsidR="00673C84" w:rsidP="006C65B2" w:rsidRDefault="00673C84" w14:paraId="76F62CE2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2 à 3X/semaines de mai à septembre. Temps d’arrosage variable suivant le sol et l’exposition.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5D24C65F" w14:textId="4ABE452B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Fauchage : hauteur de pousse limitée à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60 cm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maxi.</w:t>
            </w:r>
          </w:p>
          <w:p w:rsidRPr="00901920" w:rsidR="00673C84" w:rsidP="00673C84" w:rsidRDefault="00673C84" w14:paraId="66DB167B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Fréquence :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2-3 X/an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en fonction de la pousse            Détourage de parcelles et cheminements 4-6X/an.</w:t>
            </w:r>
          </w:p>
          <w:p w:rsidRPr="00901920" w:rsidR="00673C84" w:rsidP="00673C84" w:rsidRDefault="00673C84" w14:paraId="7DFA6311" w14:textId="007061A2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Pr="00901920" w:rsidR="00673C84" w:rsidP="00673C84" w:rsidRDefault="00673C84" w14:paraId="09B78315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02C7280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Fauchage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annuel </w:t>
            </w:r>
            <w:r w:rsidRPr="00901920">
              <w:rPr>
                <w:rFonts w:ascii="Century Gothic" w:hAnsi="Century Gothic"/>
                <w:sz w:val="16"/>
                <w:szCs w:val="16"/>
              </w:rPr>
              <w:t>: en août de préférence avec exportation de matière.</w:t>
            </w:r>
          </w:p>
        </w:tc>
      </w:tr>
      <w:tr w:rsidRPr="008A426A" w:rsidR="00673C84" w:rsidTr="3A2AF4A6" w14:paraId="3A3D24C2" w14:textId="77777777">
        <w:trPr>
          <w:trHeight w:val="1048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1B6EBD94" w14:textId="0B57F611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allées gravée</w:t>
            </w:r>
            <w:r w:rsidRPr="00901920" w:rsidR="006C65B2">
              <w:rPr>
                <w:rFonts w:ascii="Century Gothic" w:hAnsi="Century Gothic"/>
                <w:sz w:val="16"/>
                <w:szCs w:val="16"/>
              </w:rPr>
              <w:t>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026B8A9F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72B19D8C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La flore spontanée est tolérée ; les allées sont fauchées dans la limite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6 passages/an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de mars à octobre.</w:t>
            </w:r>
          </w:p>
          <w:p w:rsidRPr="00901920" w:rsidR="00673C84" w:rsidP="00673C84" w:rsidRDefault="00673C84" w14:paraId="4FDF06E7" w14:textId="2A3EA95D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Possibilité de réaliser un désherbage curatif manuel ou mécanique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1X/an.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673C84" w:rsidRDefault="00673C84" w14:paraId="3A18AA5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Le désherbage et le fauchage sont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abandonnés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laissant place à une </w:t>
            </w:r>
            <w:r w:rsidRPr="002665FE">
              <w:rPr>
                <w:rFonts w:ascii="Century Gothic" w:hAnsi="Century Gothic"/>
                <w:b/>
                <w:bCs/>
                <w:sz w:val="16"/>
                <w:szCs w:val="16"/>
              </w:rPr>
              <w:t>végétation spontanée</w:t>
            </w:r>
          </w:p>
          <w:p w:rsidRPr="00901920" w:rsidR="00673C84" w:rsidP="00673C84" w:rsidRDefault="00673C84" w14:paraId="5F4B2D42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2142786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73C84" w:rsidTr="3A2AF4A6" w14:paraId="522817BE" w14:textId="77777777">
        <w:trPr>
          <w:trHeight w:val="885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56B80197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Gestion des feuilles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C21D2E6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C65B2" w:rsidP="00673C84" w:rsidRDefault="00673C84" w14:paraId="16C0E3C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Traitement des feuilles : Soufflage et ramassage des feuilles avec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revalorisation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>sur site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(massifs d’arbustes) ; exportation à proscrire. </w:t>
            </w:r>
          </w:p>
          <w:p w:rsidRPr="00901920" w:rsidR="00673C84" w:rsidP="00673C84" w:rsidRDefault="00673C84" w14:paraId="0ED8D8C8" w14:textId="02587659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Dégagement des cheminements par sécurité.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73C84" w:rsidP="007C471D" w:rsidRDefault="00673C84" w14:paraId="0D1B4331" w14:textId="3117F3CE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 xml:space="preserve">Traitement des feuilles : broyage sur place </w:t>
            </w:r>
            <w:r w:rsidRPr="00901920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sans ramassage </w:t>
            </w:r>
            <w:r w:rsidRPr="00901920">
              <w:rPr>
                <w:rFonts w:ascii="Century Gothic" w:hAnsi="Century Gothic"/>
                <w:sz w:val="16"/>
                <w:szCs w:val="16"/>
              </w:rPr>
              <w:t>ni exportation.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01920" w:rsidR="00673C84" w:rsidP="00673C84" w:rsidRDefault="00673C84" w14:paraId="69ED5D7B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Code non concerné</w:t>
            </w:r>
          </w:p>
        </w:tc>
      </w:tr>
      <w:tr w:rsidRPr="008A426A" w:rsidR="00625D5B" w:rsidTr="3A2AF4A6" w14:paraId="16366559" w14:textId="77777777">
        <w:trPr>
          <w:trHeight w:val="1118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1920" w:rsidR="00625D5B" w:rsidP="00673C84" w:rsidRDefault="00625D5B" w14:paraId="1E234DDE" w14:textId="479C8F4C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Impact pour l’</w:t>
            </w:r>
            <w:r w:rsidRPr="00901920" w:rsidR="00C3081F">
              <w:rPr>
                <w:rFonts w:ascii="Century Gothic" w:hAnsi="Century Gothic"/>
                <w:sz w:val="16"/>
                <w:szCs w:val="16"/>
              </w:rPr>
              <w:t>usager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44D83" w:rsidR="00625D5B" w:rsidP="00673C84" w:rsidRDefault="001923B1" w14:paraId="04D8F3CC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44D83">
              <w:rPr>
                <w:rFonts w:ascii="Century Gothic" w:hAnsi="Century Gothic"/>
                <w:b/>
                <w:bCs/>
                <w:sz w:val="16"/>
                <w:szCs w:val="16"/>
              </w:rPr>
              <w:t>Fonction décorative</w:t>
            </w:r>
            <w:r w:rsidRPr="00944D83" w:rsidR="00C15011">
              <w:rPr>
                <w:rFonts w:ascii="Century Gothic" w:hAnsi="Century Gothic"/>
                <w:b/>
                <w:bCs/>
                <w:sz w:val="16"/>
                <w:szCs w:val="16"/>
              </w:rPr>
              <w:t>.</w:t>
            </w:r>
          </w:p>
          <w:p w:rsidRPr="00901920" w:rsidR="00C15011" w:rsidP="00673C84" w:rsidRDefault="00C15011" w14:paraId="4B6F0B46" w14:textId="25000FE0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Concerne uniquement les massifs flo</w:t>
            </w:r>
            <w:r w:rsidRPr="00901920" w:rsidR="00901920">
              <w:rPr>
                <w:rFonts w:ascii="Century Gothic" w:hAnsi="Century Gothic"/>
                <w:sz w:val="16"/>
                <w:szCs w:val="16"/>
              </w:rPr>
              <w:t>r</w:t>
            </w:r>
            <w:r w:rsidRPr="00901920">
              <w:rPr>
                <w:rFonts w:ascii="Century Gothic" w:hAnsi="Century Gothic"/>
                <w:sz w:val="16"/>
                <w:szCs w:val="16"/>
              </w:rPr>
              <w:t>aux.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44D83" w:rsidR="00DF04E4" w:rsidP="000153FF" w:rsidRDefault="00DF04E4" w14:paraId="2387D767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44D83">
              <w:rPr>
                <w:rFonts w:ascii="Century Gothic" w:hAnsi="Century Gothic"/>
                <w:b/>
                <w:bCs/>
                <w:sz w:val="16"/>
                <w:szCs w:val="16"/>
              </w:rPr>
              <w:t>R</w:t>
            </w:r>
            <w:r w:rsidRPr="00944D83" w:rsidR="000153FF">
              <w:rPr>
                <w:rFonts w:ascii="Century Gothic" w:hAnsi="Century Gothic"/>
                <w:b/>
                <w:bCs/>
                <w:sz w:val="16"/>
                <w:szCs w:val="16"/>
              </w:rPr>
              <w:t>épon</w:t>
            </w:r>
            <w:r w:rsidRPr="00944D83" w:rsidR="000153FF">
              <w:rPr>
                <w:rFonts w:ascii="Century Gothic" w:hAnsi="Century Gothic"/>
                <w:b/>
                <w:bCs/>
                <w:sz w:val="16"/>
                <w:szCs w:val="16"/>
              </w:rPr>
              <w:t>d</w:t>
            </w:r>
            <w:r w:rsidRPr="00944D83" w:rsidR="000153FF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à des besoins fonctionnels </w:t>
            </w:r>
          </w:p>
          <w:p w:rsidRPr="00901920" w:rsidR="00DF04E4" w:rsidP="00DF04E4" w:rsidRDefault="000153FF" w14:paraId="4D41F084" w14:textId="0951D1CB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R</w:t>
            </w:r>
            <w:r w:rsidRPr="00901920">
              <w:rPr>
                <w:rFonts w:ascii="Century Gothic" w:hAnsi="Century Gothic"/>
                <w:sz w:val="16"/>
                <w:szCs w:val="16"/>
              </w:rPr>
              <w:t>elation entre les usages</w:t>
            </w:r>
            <w:r w:rsidRPr="00901920" w:rsidR="00C15011">
              <w:rPr>
                <w:rFonts w:ascii="Century Gothic" w:hAnsi="Century Gothic"/>
                <w:sz w:val="16"/>
                <w:szCs w:val="16"/>
              </w:rPr>
              <w:t xml:space="preserve">, </w:t>
            </w:r>
            <w:r w:rsidRPr="00901920">
              <w:rPr>
                <w:rFonts w:ascii="Century Gothic" w:hAnsi="Century Gothic"/>
                <w:sz w:val="16"/>
                <w:szCs w:val="16"/>
              </w:rPr>
              <w:t>la décoration</w:t>
            </w:r>
            <w:r w:rsidRPr="00901920" w:rsidR="00DF04E4">
              <w:rPr>
                <w:rFonts w:ascii="Century Gothic" w:hAnsi="Century Gothic"/>
                <w:sz w:val="16"/>
                <w:szCs w:val="16"/>
              </w:rPr>
              <w:t xml:space="preserve"> et </w:t>
            </w:r>
            <w:r w:rsidRPr="00901920" w:rsidR="001F3759">
              <w:rPr>
                <w:rFonts w:ascii="Century Gothic" w:hAnsi="Century Gothic"/>
                <w:sz w:val="16"/>
                <w:szCs w:val="16"/>
              </w:rPr>
              <w:t>préservation des ressources.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Pr="00901920" w:rsidR="000153FF" w:rsidP="00DF04E4" w:rsidRDefault="00DF04E4" w14:paraId="607D06BA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A</w:t>
            </w:r>
            <w:r w:rsidRPr="00901920" w:rsidR="000153FF">
              <w:rPr>
                <w:rFonts w:ascii="Century Gothic" w:hAnsi="Century Gothic"/>
                <w:sz w:val="16"/>
                <w:szCs w:val="16"/>
              </w:rPr>
              <w:t>ppropriation des lieux par les usagers.</w:t>
            </w:r>
          </w:p>
          <w:p w:rsidRPr="00901920" w:rsidR="001F3759" w:rsidP="00F71A89" w:rsidRDefault="001F3759" w14:paraId="7E105D29" w14:textId="22E884F8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07298" w:rsidP="007C471D" w:rsidRDefault="00906F04" w14:paraId="3A0BA604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44D83">
              <w:rPr>
                <w:rFonts w:ascii="Century Gothic" w:hAnsi="Century Gothic"/>
                <w:b/>
                <w:bCs/>
                <w:sz w:val="16"/>
                <w:szCs w:val="16"/>
              </w:rPr>
              <w:t>Code de transition vers une ambiance plus libre et plus</w:t>
            </w:r>
            <w:r w:rsidRPr="009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944D83">
              <w:rPr>
                <w:rFonts w:ascii="Century Gothic" w:hAnsi="Century Gothic"/>
                <w:b/>
                <w:bCs/>
                <w:sz w:val="16"/>
                <w:szCs w:val="16"/>
              </w:rPr>
              <w:t>naturelle</w:t>
            </w:r>
            <w:r w:rsidRPr="00901920">
              <w:rPr>
                <w:rFonts w:ascii="Century Gothic" w:hAnsi="Century Gothic"/>
                <w:sz w:val="16"/>
                <w:szCs w:val="16"/>
              </w:rPr>
              <w:t>.</w:t>
            </w:r>
            <w:r w:rsidRPr="00901920" w:rsidR="0041572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901920" w:rsidR="002024CC">
              <w:rPr>
                <w:rFonts w:ascii="Century Gothic" w:hAnsi="Century Gothic"/>
                <w:sz w:val="16"/>
                <w:szCs w:val="16"/>
              </w:rPr>
              <w:t>La g</w:t>
            </w:r>
            <w:r w:rsidRPr="00901920" w:rsidR="0041572C">
              <w:rPr>
                <w:rFonts w:ascii="Century Gothic" w:hAnsi="Century Gothic"/>
                <w:sz w:val="16"/>
                <w:szCs w:val="16"/>
              </w:rPr>
              <w:t>estion écologique</w:t>
            </w:r>
            <w:r w:rsidRPr="00901920" w:rsidR="007C471D">
              <w:rPr>
                <w:rFonts w:ascii="Century Gothic" w:hAnsi="Century Gothic"/>
                <w:sz w:val="16"/>
                <w:szCs w:val="16"/>
              </w:rPr>
              <w:t xml:space="preserve"> p</w:t>
            </w:r>
            <w:r w:rsidRPr="00901920" w:rsidR="00C3081F">
              <w:rPr>
                <w:rFonts w:ascii="Century Gothic" w:hAnsi="Century Gothic"/>
                <w:sz w:val="16"/>
                <w:szCs w:val="16"/>
              </w:rPr>
              <w:t>eut</w:t>
            </w:r>
            <w:r w:rsidRPr="00901920" w:rsidR="003F4328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901920" w:rsidR="00C3081F">
              <w:rPr>
                <w:rFonts w:ascii="Century Gothic" w:hAnsi="Century Gothic"/>
                <w:sz w:val="16"/>
                <w:szCs w:val="16"/>
              </w:rPr>
              <w:t>être per</w:t>
            </w:r>
            <w:r w:rsidRPr="00901920" w:rsidR="001923B1">
              <w:rPr>
                <w:rFonts w:ascii="Century Gothic" w:hAnsi="Century Gothic"/>
                <w:sz w:val="16"/>
                <w:szCs w:val="16"/>
              </w:rPr>
              <w:t>çue comme un manque d’entretien</w:t>
            </w:r>
            <w:r w:rsidRPr="00901920" w:rsidR="006F75D5">
              <w:rPr>
                <w:rFonts w:ascii="Century Gothic" w:hAnsi="Century Gothic"/>
                <w:sz w:val="16"/>
                <w:szCs w:val="16"/>
              </w:rPr>
              <w:t>.</w:t>
            </w:r>
            <w:r w:rsidRPr="00901920" w:rsidR="00AF3241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Pr="00901920" w:rsidR="006F75D5" w:rsidP="007C471D" w:rsidRDefault="00AF3241" w14:paraId="1D657C6C" w14:textId="794DD5AF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(Moins de tonte, herbes hautes)</w:t>
            </w:r>
          </w:p>
          <w:p w:rsidRPr="00901920" w:rsidR="00625D5B" w:rsidP="00EA18E7" w:rsidRDefault="0041572C" w14:paraId="6A075874" w14:textId="5D575334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Préservation de la biodiversité et de la ressource en eau.</w:t>
            </w:r>
          </w:p>
          <w:p w:rsidRPr="00901920" w:rsidR="006F75D5" w:rsidP="00EA18E7" w:rsidRDefault="006F75D5" w14:paraId="54D2DAD7" w14:textId="1973B61B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44D83" w:rsidR="00625D5B" w:rsidP="00673C84" w:rsidRDefault="007541B1" w14:paraId="2EF195A3" w14:textId="77777777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44D83">
              <w:rPr>
                <w:rFonts w:ascii="Century Gothic" w:hAnsi="Century Gothic"/>
                <w:b/>
                <w:bCs/>
                <w:sz w:val="16"/>
                <w:szCs w:val="16"/>
              </w:rPr>
              <w:t>Ambiance</w:t>
            </w:r>
            <w:r w:rsidRPr="00944D83" w:rsidR="00A4379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proche de la nature</w:t>
            </w:r>
          </w:p>
          <w:p w:rsidRPr="00901920" w:rsidR="002F50A8" w:rsidP="00673C84" w:rsidRDefault="002F50A8" w14:paraId="424965D9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Favorisant le bien-être</w:t>
            </w:r>
            <w:r w:rsidRPr="00901920" w:rsidR="0083288C">
              <w:rPr>
                <w:rFonts w:ascii="Century Gothic" w:hAnsi="Century Gothic"/>
                <w:sz w:val="16"/>
                <w:szCs w:val="16"/>
              </w:rPr>
              <w:t>.</w:t>
            </w:r>
          </w:p>
          <w:p w:rsidRPr="00901920" w:rsidR="0083288C" w:rsidP="00673C84" w:rsidRDefault="0083288C" w14:paraId="539E17BB" w14:textId="77777777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Biodiversité observable par l’usager.</w:t>
            </w:r>
          </w:p>
          <w:p w:rsidRPr="00901920" w:rsidR="006F75D5" w:rsidP="00673C84" w:rsidRDefault="006F75D5" w14:paraId="38224824" w14:textId="6807BB80">
            <w:pPr>
              <w:spacing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01920">
              <w:rPr>
                <w:rFonts w:ascii="Century Gothic" w:hAnsi="Century Gothic"/>
                <w:sz w:val="16"/>
                <w:szCs w:val="16"/>
              </w:rPr>
              <w:t>Sensibilisation écologique.</w:t>
            </w:r>
          </w:p>
        </w:tc>
      </w:tr>
    </w:tbl>
    <w:p w:rsidRPr="00944D83" w:rsidR="00944D83" w:rsidP="00F71A89" w:rsidRDefault="00F71A89" w14:paraId="3D3E6677" w14:textId="7AC3ED9D">
      <w:pPr>
        <w:tabs>
          <w:tab w:val="left" w:pos="8456"/>
          <w:tab w:val="left" w:pos="9120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Pr="00944D83" w:rsidR="00944D83" w:rsidSect="00673C84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5C34" w:rsidP="006C65B2" w:rsidRDefault="006B5C34" w14:paraId="5EDD7FE1" w14:textId="77777777">
      <w:pPr>
        <w:spacing w:after="0" w:line="240" w:lineRule="auto"/>
      </w:pPr>
      <w:r>
        <w:separator/>
      </w:r>
    </w:p>
  </w:endnote>
  <w:endnote w:type="continuationSeparator" w:id="0">
    <w:p w:rsidR="006B5C34" w:rsidP="006C65B2" w:rsidRDefault="006B5C34" w14:paraId="27E087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44D83" w:rsidR="006C5259" w:rsidRDefault="005B766D" w14:paraId="779FF6A5" w14:textId="492A40AA">
    <w:pPr>
      <w:pStyle w:val="Pieddepage"/>
      <w:rPr>
        <w:sz w:val="18"/>
        <w:szCs w:val="18"/>
      </w:rPr>
    </w:pPr>
    <w:r>
      <w:tab/>
    </w:r>
    <w:r>
      <w:tab/>
    </w:r>
    <w:r w:rsidRPr="00944D83">
      <w:rPr>
        <w:sz w:val="18"/>
        <w:szCs w:val="18"/>
      </w:rPr>
      <w:t xml:space="preserve">                                                                                             </w:t>
    </w:r>
    <w:r w:rsidRPr="00944D83" w:rsidR="00944D83">
      <w:rPr>
        <w:sz w:val="18"/>
        <w:szCs w:val="18"/>
      </w:rPr>
      <w:t xml:space="preserve">                         </w:t>
    </w:r>
    <w:r w:rsidRPr="00944D83">
      <w:rPr>
        <w:sz w:val="18"/>
        <w:szCs w:val="18"/>
      </w:rPr>
      <w:t xml:space="preserve">  </w:t>
    </w:r>
    <w:r w:rsidR="00944D83">
      <w:rPr>
        <w:sz w:val="18"/>
        <w:szCs w:val="18"/>
      </w:rPr>
      <w:t xml:space="preserve">                              </w:t>
    </w:r>
    <w:r w:rsidRPr="00944D83">
      <w:rPr>
        <w:sz w:val="18"/>
        <w:szCs w:val="18"/>
      </w:rPr>
      <w:t xml:space="preserve"> PVB_Direction Exploitation_</w:t>
    </w:r>
    <w:r w:rsidRPr="00944D83" w:rsidR="006C5259">
      <w:rPr>
        <w:sz w:val="18"/>
        <w:szCs w:val="18"/>
      </w:rPr>
      <w:t>Service gestion des parcs et jardins</w:t>
    </w:r>
    <w:r w:rsidRPr="00944D83">
      <w:rPr>
        <w:sz w:val="18"/>
        <w:szCs w:val="18"/>
      </w:rPr>
      <w:t>_2025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5C34" w:rsidP="006C65B2" w:rsidRDefault="006B5C34" w14:paraId="10BAD307" w14:textId="77777777">
      <w:pPr>
        <w:spacing w:after="0" w:line="240" w:lineRule="auto"/>
      </w:pPr>
      <w:r>
        <w:separator/>
      </w:r>
    </w:p>
  </w:footnote>
  <w:footnote w:type="continuationSeparator" w:id="0">
    <w:p w:rsidR="006B5C34" w:rsidP="006C65B2" w:rsidRDefault="006B5C34" w14:paraId="76A140E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44D83" w:rsidR="00655E65" w:rsidP="00655E65" w:rsidRDefault="00655E65" w14:paraId="2F1FE762" w14:textId="77777777">
    <w:pPr>
      <w:pStyle w:val="En-tte"/>
      <w:jc w:val="center"/>
      <w:rPr>
        <w:rFonts w:ascii="Century Gothic" w:hAnsi="Century Gothic"/>
      </w:rPr>
    </w:pPr>
    <w:r w:rsidRPr="00944D83">
      <w:rPr>
        <w:rFonts w:ascii="Century Gothic" w:hAnsi="Century Gothic"/>
      </w:rPr>
      <w:t>Codes de gestion différenciée applicables sur les espaces- verts du territoire de Bordeaux gérés par le PVB</w:t>
    </w:r>
  </w:p>
  <w:p w:rsidRPr="00655E65" w:rsidR="006C65B2" w:rsidP="00655E65" w:rsidRDefault="006C65B2" w14:paraId="0A0E5F3A" w14:textId="3A963299">
    <w:pPr>
      <w:pStyle w:val="En-tte"/>
      <w:rPr>
        <w:rFonts w:ascii="Century Gothic" w:hAnsi="Century Gothic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84"/>
    <w:rsid w:val="000153FF"/>
    <w:rsid w:val="001923B1"/>
    <w:rsid w:val="001D6CE2"/>
    <w:rsid w:val="001F357A"/>
    <w:rsid w:val="001F3759"/>
    <w:rsid w:val="002024CC"/>
    <w:rsid w:val="002665FE"/>
    <w:rsid w:val="002C6121"/>
    <w:rsid w:val="002E003B"/>
    <w:rsid w:val="002F50A8"/>
    <w:rsid w:val="003F4328"/>
    <w:rsid w:val="0041572C"/>
    <w:rsid w:val="004A7A1D"/>
    <w:rsid w:val="004F3BB8"/>
    <w:rsid w:val="005B766D"/>
    <w:rsid w:val="00625D5B"/>
    <w:rsid w:val="00655E65"/>
    <w:rsid w:val="00673C84"/>
    <w:rsid w:val="006B5C34"/>
    <w:rsid w:val="006C5259"/>
    <w:rsid w:val="006C65B2"/>
    <w:rsid w:val="006F75D5"/>
    <w:rsid w:val="007525D7"/>
    <w:rsid w:val="007541B1"/>
    <w:rsid w:val="007C471D"/>
    <w:rsid w:val="0083288C"/>
    <w:rsid w:val="00866415"/>
    <w:rsid w:val="008665A6"/>
    <w:rsid w:val="008A426A"/>
    <w:rsid w:val="00901920"/>
    <w:rsid w:val="00906F04"/>
    <w:rsid w:val="00944D83"/>
    <w:rsid w:val="00945A5A"/>
    <w:rsid w:val="009B6A31"/>
    <w:rsid w:val="00A07298"/>
    <w:rsid w:val="00A33A7A"/>
    <w:rsid w:val="00A43793"/>
    <w:rsid w:val="00A809D9"/>
    <w:rsid w:val="00AF3241"/>
    <w:rsid w:val="00C15011"/>
    <w:rsid w:val="00C17956"/>
    <w:rsid w:val="00C3081F"/>
    <w:rsid w:val="00C66164"/>
    <w:rsid w:val="00D26EF5"/>
    <w:rsid w:val="00DF04E4"/>
    <w:rsid w:val="00EA18E7"/>
    <w:rsid w:val="00F71A89"/>
    <w:rsid w:val="0AD1E421"/>
    <w:rsid w:val="3A2AF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8A12"/>
  <w15:chartTrackingRefBased/>
  <w15:docId w15:val="{968454B9-09D7-4BD0-AC9E-C645E5A9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3C84"/>
    <w:pPr>
      <w:spacing w:line="25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73C84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73C84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3C8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3C8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3C8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3C8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3C8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3C8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3C8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673C8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673C8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673C8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673C84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673C84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673C84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673C84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673C84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673C8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73C8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673C8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3C8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673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73C8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CitationCar" w:customStyle="1">
    <w:name w:val="Citation Car"/>
    <w:basedOn w:val="Policepardfaut"/>
    <w:link w:val="Citation"/>
    <w:uiPriority w:val="29"/>
    <w:rsid w:val="00673C8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73C84"/>
    <w:pPr>
      <w:spacing w:line="278" w:lineRule="auto"/>
      <w:ind w:left="720"/>
      <w:contextualSpacing/>
    </w:pPr>
    <w:rPr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673C8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3C8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673C8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73C84"/>
    <w:rPr>
      <w:b/>
      <w:bCs/>
      <w:smallCaps/>
      <w:color w:val="0F4761" w:themeColor="accent1" w:themeShade="BF"/>
      <w:spacing w:val="5"/>
    </w:rPr>
  </w:style>
  <w:style w:type="paragraph" w:styleId="Default" w:customStyle="1">
    <w:name w:val="Default"/>
    <w:rsid w:val="00673C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Grilledutableau">
    <w:name w:val="Table Grid"/>
    <w:basedOn w:val="TableauNormal"/>
    <w:uiPriority w:val="39"/>
    <w:rsid w:val="00673C84"/>
    <w:pPr>
      <w:spacing w:after="0" w:line="240" w:lineRule="auto"/>
    </w:pPr>
    <w:rPr>
      <w:sz w:val="22"/>
      <w:szCs w:val="22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-tte">
    <w:name w:val="header"/>
    <w:basedOn w:val="Normal"/>
    <w:link w:val="En-tteCar"/>
    <w:uiPriority w:val="99"/>
    <w:unhideWhenUsed/>
    <w:rsid w:val="006C65B2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6C65B2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6C65B2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6C65B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6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A1EC860AF05343A19008592BD50B6D" ma:contentTypeVersion="4" ma:contentTypeDescription="Crée un document." ma:contentTypeScope="" ma:versionID="63a982e44c00aa4f7960befda3713256">
  <xsd:schema xmlns:xsd="http://www.w3.org/2001/XMLSchema" xmlns:xs="http://www.w3.org/2001/XMLSchema" xmlns:p="http://schemas.microsoft.com/office/2006/metadata/properties" xmlns:ns2="f8d3c15e-28e8-40fe-9b1f-b2680dd8b8c4" targetNamespace="http://schemas.microsoft.com/office/2006/metadata/properties" ma:root="true" ma:fieldsID="a377af72898bb1e4022910c864b83bd0" ns2:_="">
    <xsd:import namespace="f8d3c15e-28e8-40fe-9b1f-b2680dd8b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c15e-28e8-40fe-9b1f-b2680dd8b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B4FDA-7913-4D50-85B0-6AE803DF931C}"/>
</file>

<file path=customXml/itemProps2.xml><?xml version="1.0" encoding="utf-8"?>
<ds:datastoreItem xmlns:ds="http://schemas.openxmlformats.org/officeDocument/2006/customXml" ds:itemID="{0FB5755A-EA5A-4AB5-88C7-7771884039D3}"/>
</file>

<file path=customXml/itemProps3.xml><?xml version="1.0" encoding="utf-8"?>
<ds:datastoreItem xmlns:ds="http://schemas.openxmlformats.org/officeDocument/2006/customXml" ds:itemID="{D4C4F241-6E0F-4043-87DC-22E154F4A2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LIOTEAU Samuel</dc:creator>
  <keywords/>
  <dc:description/>
  <lastModifiedBy>LIOTEAU Samuel</lastModifiedBy>
  <revision>44</revision>
  <lastPrinted>2025-09-25T08:08:00.0000000Z</lastPrinted>
  <dcterms:created xsi:type="dcterms:W3CDTF">2025-09-25T06:32:00.0000000Z</dcterms:created>
  <dcterms:modified xsi:type="dcterms:W3CDTF">2025-10-02T10:11:26.8770362Z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0x0101007FA1EC860AF05343A19008592BD50B6D</vt:lpwstr>
  </property>
</Properties>
</file>